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6" w:rsidRPr="00A9704D" w:rsidRDefault="00A4718E" w:rsidP="00A04976">
      <w:pPr>
        <w:pStyle w:val="Standard1"/>
        <w:jc w:val="both"/>
        <w:rPr>
          <w:rFonts w:cs="Times New Roman"/>
        </w:rPr>
      </w:pPr>
      <w:r>
        <w:rPr>
          <w:rFonts w:cs="Times New Roman"/>
          <w:b/>
          <w:bCs/>
        </w:rPr>
        <w:t>Table S</w:t>
      </w:r>
      <w:r w:rsidR="00A04976">
        <w:rPr>
          <w:rFonts w:cs="Times New Roman"/>
          <w:b/>
          <w:bCs/>
        </w:rPr>
        <w:t>1</w:t>
      </w:r>
      <w:r w:rsidR="00A04976" w:rsidRPr="0094069E">
        <w:rPr>
          <w:rFonts w:cs="Times New Roman"/>
          <w:b/>
        </w:rPr>
        <w:t>.</w:t>
      </w:r>
      <w:r w:rsidR="00A04976" w:rsidRPr="00A9704D">
        <w:rPr>
          <w:rFonts w:cs="Times New Roman"/>
        </w:rPr>
        <w:t xml:space="preserve"> Primers used to amplify mitochondrial and nuclear markers. </w:t>
      </w:r>
      <w:r w:rsidR="00A04976" w:rsidRPr="00A9704D">
        <w:rPr>
          <w:rFonts w:cs="Times New Roman"/>
          <w:color w:val="000000"/>
        </w:rPr>
        <w:t>Most individuals (~</w:t>
      </w:r>
      <w:r w:rsidR="00EA257C">
        <w:rPr>
          <w:rFonts w:cs="Times New Roman"/>
          <w:color w:val="000000"/>
        </w:rPr>
        <w:t xml:space="preserve"> </w:t>
      </w:r>
      <w:r w:rsidR="00A04976" w:rsidRPr="00A9704D">
        <w:rPr>
          <w:rFonts w:cs="Times New Roman"/>
          <w:color w:val="000000"/>
        </w:rPr>
        <w:t xml:space="preserve">80%) amplified </w:t>
      </w:r>
      <w:r w:rsidR="00A04976" w:rsidRPr="00A9704D">
        <w:rPr>
          <w:rFonts w:cs="Times New Roman"/>
          <w:i/>
          <w:iCs/>
          <w:color w:val="000000"/>
        </w:rPr>
        <w:t>COII</w:t>
      </w:r>
      <w:r w:rsidR="00A04976" w:rsidRPr="00A9704D">
        <w:rPr>
          <w:rFonts w:cs="Times New Roman"/>
          <w:color w:val="000000"/>
        </w:rPr>
        <w:t xml:space="preserve"> successfully with primer combination Ringo/B–tLYS. The remaining ones required other combinations of forward (F) and reverse (R) primers. (</w:t>
      </w:r>
      <w:r w:rsidR="00A04976" w:rsidRPr="00A9704D">
        <w:rPr>
          <w:rFonts w:cs="Times New Roman"/>
          <w:color w:val="000000"/>
          <w:vertAlign w:val="superscript"/>
        </w:rPr>
        <w:t>1</w:t>
      </w:r>
      <w:r w:rsidR="00A04976" w:rsidRPr="00A9704D">
        <w:rPr>
          <w:rFonts w:cs="Times New Roman"/>
          <w:color w:val="000000"/>
        </w:rPr>
        <w:t xml:space="preserve">) Refers to the position of the primer’s 3’ base on the </w:t>
      </w:r>
      <w:r w:rsidR="00A04976" w:rsidRPr="00A9704D">
        <w:rPr>
          <w:rFonts w:cs="Times New Roman"/>
          <w:i/>
          <w:iCs/>
          <w:color w:val="000000"/>
        </w:rPr>
        <w:t>Drosophila yakuba</w:t>
      </w:r>
      <w:r w:rsidR="00A04976" w:rsidRPr="00A9704D">
        <w:rPr>
          <w:rFonts w:cs="Times New Roman"/>
          <w:color w:val="000000"/>
        </w:rPr>
        <w:t xml:space="preserve"> GenBank X03240 (</w:t>
      </w:r>
      <w:r w:rsidR="00A04976" w:rsidRPr="00A9704D">
        <w:rPr>
          <w:rFonts w:cs="Times New Roman"/>
          <w:i/>
          <w:iCs/>
          <w:color w:val="000000"/>
        </w:rPr>
        <w:t>COI</w:t>
      </w:r>
      <w:r w:rsidR="00A04976" w:rsidRPr="00A9704D">
        <w:rPr>
          <w:rFonts w:cs="Times New Roman"/>
          <w:color w:val="000000"/>
        </w:rPr>
        <w:t xml:space="preserve"> and </w:t>
      </w:r>
      <w:r w:rsidR="00A04976" w:rsidRPr="00A9704D">
        <w:rPr>
          <w:rFonts w:cs="Times New Roman"/>
          <w:i/>
          <w:iCs/>
          <w:color w:val="000000"/>
        </w:rPr>
        <w:t>COII</w:t>
      </w:r>
      <w:r w:rsidR="00A04976" w:rsidRPr="00A9704D">
        <w:rPr>
          <w:rFonts w:cs="Times New Roman"/>
          <w:color w:val="000000"/>
        </w:rPr>
        <w:t xml:space="preserve">) mtDNA genome. </w:t>
      </w:r>
      <w:r w:rsidR="00A04976" w:rsidRPr="00A9704D">
        <w:rPr>
          <w:rFonts w:cs="Times New Roman"/>
        </w:rPr>
        <w:t>(</w:t>
      </w:r>
      <w:r w:rsidR="00A04976" w:rsidRPr="00A9704D">
        <w:rPr>
          <w:rFonts w:cs="Times New Roman"/>
          <w:vertAlign w:val="superscript"/>
        </w:rPr>
        <w:t>2</w:t>
      </w:r>
      <w:r w:rsidR="00A04976" w:rsidRPr="00A9704D">
        <w:rPr>
          <w:rFonts w:cs="Times New Roman"/>
        </w:rPr>
        <w:t>) The original sequence of primer Pat (</w:t>
      </w:r>
      <w:r w:rsidR="00A04976" w:rsidRPr="0094069E">
        <w:rPr>
          <w:rFonts w:cs="Times New Roman"/>
          <w:smallCaps/>
        </w:rPr>
        <w:t>Simon</w:t>
      </w:r>
      <w:r w:rsidR="00A04976" w:rsidRPr="00A9704D">
        <w:rPr>
          <w:rFonts w:cs="Times New Roman"/>
        </w:rPr>
        <w:t xml:space="preserve"> </w:t>
      </w:r>
      <w:r w:rsidR="00A04976" w:rsidRPr="0094069E">
        <w:rPr>
          <w:rFonts w:cs="Times New Roman"/>
        </w:rPr>
        <w:t>et al</w:t>
      </w:r>
      <w:r w:rsidR="00A04976" w:rsidRPr="00795270">
        <w:rPr>
          <w:rFonts w:cs="Times New Roman"/>
        </w:rPr>
        <w:t>.</w:t>
      </w:r>
      <w:r w:rsidR="00A04976" w:rsidRPr="00A9704D">
        <w:rPr>
          <w:rFonts w:cs="Times New Roman"/>
        </w:rPr>
        <w:t xml:space="preserve"> 1994) is 5’TCCAATGCACTAATCTGCCATATTA3’, which is different from primer Pat* used in this study. There are therefore at least two different primers with the same name and both appear to be popular. We have been unable to find the original reference for primer Pat*.</w:t>
      </w:r>
    </w:p>
    <w:p w:rsidR="00A04976" w:rsidRDefault="00A04976" w:rsidP="00A04976">
      <w:pPr>
        <w:pStyle w:val="Standard1"/>
        <w:jc w:val="center"/>
      </w:pPr>
    </w:p>
    <w:tbl>
      <w:tblPr>
        <w:tblW w:w="13592" w:type="dxa"/>
        <w:tblInd w:w="-3" w:type="dxa"/>
        <w:tblLayout w:type="fixed"/>
        <w:tblCellMar>
          <w:left w:w="10" w:type="dxa"/>
          <w:right w:w="10" w:type="dxa"/>
        </w:tblCellMar>
        <w:tblLook w:val="0000" w:firstRow="0" w:lastRow="0" w:firstColumn="0" w:lastColumn="0" w:noHBand="0" w:noVBand="0"/>
      </w:tblPr>
      <w:tblGrid>
        <w:gridCol w:w="947"/>
        <w:gridCol w:w="1933"/>
        <w:gridCol w:w="1187"/>
        <w:gridCol w:w="4725"/>
        <w:gridCol w:w="4800"/>
      </w:tblGrid>
      <w:tr w:rsidR="00A04976" w:rsidRPr="00E900D1" w:rsidTr="009A2D7D">
        <w:trPr>
          <w:trHeight w:hRule="exact" w:val="397"/>
        </w:trPr>
        <w:tc>
          <w:tcPr>
            <w:tcW w:w="947" w:type="dxa"/>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jc w:val="center"/>
              <w:rPr>
                <w:rFonts w:ascii="Arial" w:hAnsi="Arial" w:cs="Arial"/>
                <w:sz w:val="18"/>
                <w:szCs w:val="18"/>
              </w:rPr>
            </w:pPr>
            <w:r w:rsidRPr="00E900D1">
              <w:rPr>
                <w:rFonts w:ascii="Arial" w:hAnsi="Arial" w:cs="Arial"/>
                <w:b/>
                <w:bCs/>
                <w:sz w:val="18"/>
                <w:szCs w:val="18"/>
              </w:rPr>
              <w:t>Gene</w:t>
            </w:r>
          </w:p>
        </w:tc>
        <w:tc>
          <w:tcPr>
            <w:tcW w:w="1933" w:type="dxa"/>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jc w:val="center"/>
              <w:rPr>
                <w:rFonts w:ascii="Arial" w:hAnsi="Arial" w:cs="Arial"/>
                <w:sz w:val="18"/>
                <w:szCs w:val="18"/>
              </w:rPr>
            </w:pPr>
            <w:r w:rsidRPr="00E900D1">
              <w:rPr>
                <w:rFonts w:ascii="Arial" w:hAnsi="Arial" w:cs="Arial"/>
                <w:b/>
                <w:bCs/>
                <w:sz w:val="18"/>
                <w:szCs w:val="18"/>
              </w:rPr>
              <w:t>Primer</w:t>
            </w:r>
          </w:p>
        </w:tc>
        <w:tc>
          <w:tcPr>
            <w:tcW w:w="1187" w:type="dxa"/>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jc w:val="center"/>
              <w:rPr>
                <w:rFonts w:ascii="Arial" w:hAnsi="Arial" w:cs="Arial"/>
                <w:sz w:val="18"/>
                <w:szCs w:val="18"/>
              </w:rPr>
            </w:pPr>
            <w:r w:rsidRPr="00E900D1">
              <w:rPr>
                <w:rFonts w:ascii="Arial" w:hAnsi="Arial" w:cs="Arial"/>
                <w:b/>
                <w:bCs/>
                <w:sz w:val="18"/>
                <w:szCs w:val="18"/>
              </w:rPr>
              <w:t>3’ Position</w:t>
            </w:r>
            <w:r w:rsidRPr="00E900D1">
              <w:rPr>
                <w:rFonts w:ascii="Arial" w:hAnsi="Arial" w:cs="Arial"/>
                <w:b/>
                <w:bCs/>
                <w:sz w:val="18"/>
                <w:szCs w:val="18"/>
                <w:vertAlign w:val="superscript"/>
              </w:rPr>
              <w:t>1</w:t>
            </w:r>
          </w:p>
        </w:tc>
        <w:tc>
          <w:tcPr>
            <w:tcW w:w="4725" w:type="dxa"/>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jc w:val="center"/>
              <w:rPr>
                <w:rFonts w:ascii="Arial" w:hAnsi="Arial" w:cs="Arial"/>
                <w:sz w:val="18"/>
                <w:szCs w:val="18"/>
              </w:rPr>
            </w:pPr>
            <w:r w:rsidRPr="00E900D1">
              <w:rPr>
                <w:rFonts w:ascii="Arial" w:hAnsi="Arial" w:cs="Arial"/>
                <w:b/>
                <w:bCs/>
                <w:sz w:val="18"/>
                <w:szCs w:val="18"/>
              </w:rPr>
              <w:t>Sequence (5’ – 3’)</w:t>
            </w:r>
          </w:p>
        </w:tc>
        <w:tc>
          <w:tcPr>
            <w:tcW w:w="4800" w:type="dxa"/>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jc w:val="center"/>
              <w:rPr>
                <w:rFonts w:ascii="Arial" w:hAnsi="Arial" w:cs="Arial"/>
                <w:sz w:val="18"/>
                <w:szCs w:val="18"/>
              </w:rPr>
            </w:pPr>
            <w:r>
              <w:rPr>
                <w:rFonts w:ascii="Arial" w:hAnsi="Arial" w:cs="Arial"/>
                <w:b/>
                <w:bCs/>
                <w:sz w:val="18"/>
                <w:szCs w:val="18"/>
              </w:rPr>
              <w:t>Reference</w:t>
            </w:r>
          </w:p>
        </w:tc>
      </w:tr>
      <w:tr w:rsidR="00A04976" w:rsidRPr="00E900D1" w:rsidTr="009A2D7D">
        <w:trPr>
          <w:trHeight w:hRule="exact" w:val="397"/>
        </w:trPr>
        <w:tc>
          <w:tcPr>
            <w:tcW w:w="947" w:type="dxa"/>
            <w:vMerge w:val="restart"/>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b/>
                <w:bCs/>
                <w:i/>
                <w:iCs/>
                <w:color w:val="000000"/>
                <w:sz w:val="18"/>
                <w:szCs w:val="18"/>
              </w:rPr>
              <w:t>COI</w:t>
            </w:r>
          </w:p>
        </w:tc>
        <w:tc>
          <w:tcPr>
            <w:tcW w:w="1933"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LCO</w:t>
            </w:r>
          </w:p>
        </w:tc>
        <w:tc>
          <w:tcPr>
            <w:tcW w:w="1187"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1514</w:t>
            </w:r>
          </w:p>
        </w:tc>
        <w:tc>
          <w:tcPr>
            <w:tcW w:w="4725"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GGTCAACAAATCATAAAGATATTGG</w:t>
            </w:r>
          </w:p>
        </w:tc>
        <w:tc>
          <w:tcPr>
            <w:tcW w:w="4800"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smallCaps/>
                <w:color w:val="000000"/>
                <w:sz w:val="18"/>
                <w:szCs w:val="18"/>
              </w:rPr>
              <w:t>Folmer</w:t>
            </w:r>
            <w:r w:rsidRPr="00E900D1">
              <w:rPr>
                <w:rFonts w:ascii="Arial" w:hAnsi="Arial" w:cs="Arial"/>
                <w:color w:val="000000"/>
                <w:sz w:val="18"/>
                <w:szCs w:val="18"/>
              </w:rPr>
              <w:t xml:space="preserve"> et al. 1994</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HCO</w:t>
            </w:r>
          </w:p>
        </w:tc>
        <w:tc>
          <w:tcPr>
            <w:tcW w:w="1187"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2173</w:t>
            </w:r>
          </w:p>
        </w:tc>
        <w:tc>
          <w:tcPr>
            <w:tcW w:w="4725"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TAAACTTCAGGGTGACCAAAAAATCA</w:t>
            </w:r>
          </w:p>
        </w:tc>
        <w:tc>
          <w:tcPr>
            <w:tcW w:w="4800"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smallCaps/>
                <w:color w:val="000000"/>
                <w:sz w:val="18"/>
                <w:szCs w:val="18"/>
              </w:rPr>
              <w:t>Folmer</w:t>
            </w:r>
            <w:r w:rsidRPr="00E900D1">
              <w:rPr>
                <w:rFonts w:ascii="Arial" w:hAnsi="Arial" w:cs="Arial"/>
                <w:color w:val="000000"/>
                <w:sz w:val="18"/>
                <w:szCs w:val="18"/>
              </w:rPr>
              <w:t xml:space="preserve"> et al. 1994</w:t>
            </w:r>
          </w:p>
        </w:tc>
      </w:tr>
      <w:tr w:rsidR="00A04976" w:rsidRPr="00E900D1" w:rsidTr="009A2D7D">
        <w:trPr>
          <w:trHeight w:hRule="exact" w:val="397"/>
        </w:trPr>
        <w:tc>
          <w:tcPr>
            <w:tcW w:w="947" w:type="dxa"/>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b/>
                <w:bCs/>
                <w:i/>
                <w:iCs/>
                <w:color w:val="000000"/>
                <w:sz w:val="18"/>
                <w:szCs w:val="18"/>
              </w:rPr>
              <w:t>COI</w:t>
            </w:r>
          </w:p>
        </w:tc>
        <w:tc>
          <w:tcPr>
            <w:tcW w:w="1933"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Jerry</w:t>
            </w:r>
          </w:p>
        </w:tc>
        <w:tc>
          <w:tcPr>
            <w:tcW w:w="1187"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2183</w:t>
            </w:r>
          </w:p>
        </w:tc>
        <w:tc>
          <w:tcPr>
            <w:tcW w:w="4725"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CAACAYTTATTTTGATTTTTTGG</w:t>
            </w:r>
          </w:p>
        </w:tc>
        <w:tc>
          <w:tcPr>
            <w:tcW w:w="4800"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smallCaps/>
                <w:color w:val="000000"/>
                <w:sz w:val="18"/>
                <w:szCs w:val="18"/>
              </w:rPr>
              <w:t>Simon</w:t>
            </w:r>
            <w:r w:rsidRPr="00E900D1">
              <w:rPr>
                <w:rFonts w:ascii="Arial" w:hAnsi="Arial" w:cs="Arial"/>
                <w:color w:val="000000"/>
                <w:sz w:val="18"/>
                <w:szCs w:val="18"/>
              </w:rPr>
              <w:t xml:space="preserve"> et al. 1994</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DB7CEE">
            <w:pPr>
              <w:pStyle w:val="Standard1"/>
              <w:rPr>
                <w:rFonts w:ascii="Arial" w:hAnsi="Arial" w:cs="Arial"/>
                <w:sz w:val="18"/>
                <w:szCs w:val="18"/>
              </w:rPr>
            </w:pPr>
            <w:r w:rsidRPr="00E900D1">
              <w:rPr>
                <w:rFonts w:ascii="Arial" w:hAnsi="Arial" w:cs="Arial"/>
                <w:color w:val="000000"/>
                <w:sz w:val="18"/>
                <w:szCs w:val="18"/>
              </w:rPr>
              <w:t>Pat</w:t>
            </w:r>
            <w:bookmarkStart w:id="0" w:name="_GoBack"/>
            <w:r w:rsidR="00DB7CEE">
              <w:rPr>
                <w:rFonts w:ascii="Arial" w:hAnsi="Arial" w:cs="Arial"/>
                <w:color w:val="000000"/>
                <w:sz w:val="18"/>
                <w:szCs w:val="18"/>
              </w:rPr>
              <w:t>*</w:t>
            </w:r>
            <w:bookmarkEnd w:id="0"/>
            <w:r w:rsidR="00DB7CEE">
              <w:rPr>
                <w:rFonts w:ascii="Arial" w:hAnsi="Arial" w:cs="Arial"/>
                <w:color w:val="000000"/>
                <w:sz w:val="18"/>
                <w:szCs w:val="18"/>
              </w:rPr>
              <w:t xml:space="preserve"> </w:t>
            </w:r>
            <w:r w:rsidRPr="00E900D1">
              <w:rPr>
                <w:rFonts w:ascii="Arial" w:hAnsi="Arial" w:cs="Arial"/>
                <w:color w:val="000000"/>
                <w:sz w:val="18"/>
                <w:szCs w:val="18"/>
                <w:vertAlign w:val="superscript"/>
              </w:rPr>
              <w:t>2</w:t>
            </w:r>
          </w:p>
        </w:tc>
        <w:tc>
          <w:tcPr>
            <w:tcW w:w="1187"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3014</w:t>
            </w:r>
          </w:p>
        </w:tc>
        <w:tc>
          <w:tcPr>
            <w:tcW w:w="4725"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ATCCATTACATATAATCTGCCATA</w:t>
            </w:r>
          </w:p>
        </w:tc>
        <w:tc>
          <w:tcPr>
            <w:tcW w:w="4800"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w:t>
            </w:r>
            <w:r w:rsidRPr="00E900D1">
              <w:rPr>
                <w:rFonts w:ascii="Arial" w:hAnsi="Arial" w:cs="Arial"/>
                <w:color w:val="000000"/>
                <w:sz w:val="18"/>
                <w:szCs w:val="18"/>
                <w:vertAlign w:val="superscript"/>
              </w:rPr>
              <w:t xml:space="preserve"> 2</w:t>
            </w:r>
          </w:p>
        </w:tc>
      </w:tr>
      <w:tr w:rsidR="00A04976" w:rsidRPr="00E900D1" w:rsidTr="009A2D7D">
        <w:trPr>
          <w:trHeight w:hRule="exact" w:val="397"/>
        </w:trPr>
        <w:tc>
          <w:tcPr>
            <w:tcW w:w="947" w:type="dxa"/>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b/>
                <w:bCs/>
                <w:i/>
                <w:iCs/>
                <w:color w:val="000000"/>
                <w:sz w:val="18"/>
                <w:szCs w:val="18"/>
              </w:rPr>
              <w:t>COII</w:t>
            </w:r>
          </w:p>
        </w:tc>
        <w:tc>
          <w:tcPr>
            <w:tcW w:w="1933"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F: Ringo</w:t>
            </w:r>
          </w:p>
        </w:tc>
        <w:tc>
          <w:tcPr>
            <w:tcW w:w="1187"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3039</w:t>
            </w:r>
          </w:p>
        </w:tc>
        <w:tc>
          <w:tcPr>
            <w:tcW w:w="4725"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AATATGGCAGATTATATGTAATGGAT</w:t>
            </w:r>
          </w:p>
        </w:tc>
        <w:tc>
          <w:tcPr>
            <w:tcW w:w="4800"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This study</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F: Lennon</w:t>
            </w:r>
          </w:p>
        </w:tc>
        <w:tc>
          <w:tcPr>
            <w:tcW w:w="1187"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3091</w:t>
            </w:r>
          </w:p>
        </w:tc>
        <w:tc>
          <w:tcPr>
            <w:tcW w:w="4725"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TTAGAAATGGCAACATGATC</w:t>
            </w:r>
          </w:p>
        </w:tc>
        <w:tc>
          <w:tcPr>
            <w:tcW w:w="4800"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This study</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R: McCartney</w:t>
            </w:r>
          </w:p>
        </w:tc>
        <w:tc>
          <w:tcPr>
            <w:tcW w:w="1187"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3768</w:t>
            </w:r>
          </w:p>
        </w:tc>
        <w:tc>
          <w:tcPr>
            <w:tcW w:w="4725"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CTTGCTTTCAGTCATCTAATG</w:t>
            </w:r>
          </w:p>
        </w:tc>
        <w:tc>
          <w:tcPr>
            <w:tcW w:w="4800"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This study</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R: Eva</w:t>
            </w:r>
          </w:p>
        </w:tc>
        <w:tc>
          <w:tcPr>
            <w:tcW w:w="1187"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3772</w:t>
            </w:r>
          </w:p>
        </w:tc>
        <w:tc>
          <w:tcPr>
            <w:tcW w:w="4725"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GAGACCATTACTTGCTTTCAGTCATCT</w:t>
            </w:r>
          </w:p>
        </w:tc>
        <w:tc>
          <w:tcPr>
            <w:tcW w:w="4800"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smallCaps/>
                <w:color w:val="000000"/>
                <w:sz w:val="18"/>
                <w:szCs w:val="18"/>
              </w:rPr>
              <w:t>Bogdanowicz</w:t>
            </w:r>
            <w:r w:rsidRPr="00E900D1">
              <w:rPr>
                <w:rFonts w:ascii="Arial" w:hAnsi="Arial" w:cs="Arial"/>
                <w:color w:val="000000"/>
                <w:sz w:val="18"/>
                <w:szCs w:val="18"/>
              </w:rPr>
              <w:t xml:space="preserve"> </w:t>
            </w:r>
            <w:r w:rsidRPr="00DB7CEE">
              <w:rPr>
                <w:rFonts w:ascii="Arial" w:hAnsi="Arial" w:cs="Arial"/>
                <w:color w:val="000000"/>
                <w:sz w:val="18"/>
                <w:szCs w:val="18"/>
              </w:rPr>
              <w:t>et al.</w:t>
            </w:r>
            <w:r w:rsidRPr="00E900D1">
              <w:rPr>
                <w:rFonts w:ascii="Arial" w:hAnsi="Arial" w:cs="Arial"/>
                <w:color w:val="000000"/>
                <w:sz w:val="18"/>
                <w:szCs w:val="18"/>
              </w:rPr>
              <w:t xml:space="preserve"> 1993</w:t>
            </w:r>
          </w:p>
        </w:tc>
      </w:tr>
      <w:tr w:rsidR="00A04976" w:rsidRPr="00E900D1" w:rsidTr="009A2D7D">
        <w:trPr>
          <w:trHeight w:hRule="exact" w:val="397"/>
        </w:trPr>
        <w:tc>
          <w:tcPr>
            <w:tcW w:w="947" w:type="dxa"/>
            <w:vMerge/>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R: B–tLYS</w:t>
            </w:r>
          </w:p>
        </w:tc>
        <w:tc>
          <w:tcPr>
            <w:tcW w:w="1187"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3784</w:t>
            </w:r>
          </w:p>
        </w:tc>
        <w:tc>
          <w:tcPr>
            <w:tcW w:w="4725"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GGTTTAAGAGACCAGTACTTGC</w:t>
            </w:r>
          </w:p>
        </w:tc>
        <w:tc>
          <w:tcPr>
            <w:tcW w:w="4800"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smallCaps/>
                <w:color w:val="000000"/>
                <w:sz w:val="18"/>
                <w:szCs w:val="18"/>
              </w:rPr>
              <w:t>Liu &amp; Beckenbach</w:t>
            </w:r>
            <w:r w:rsidRPr="00E900D1">
              <w:rPr>
                <w:rFonts w:ascii="Arial" w:hAnsi="Arial" w:cs="Arial"/>
                <w:color w:val="000000"/>
                <w:sz w:val="18"/>
                <w:szCs w:val="18"/>
              </w:rPr>
              <w:t xml:space="preserve"> 1992</w:t>
            </w:r>
          </w:p>
        </w:tc>
      </w:tr>
      <w:tr w:rsidR="00A04976" w:rsidRPr="00E900D1" w:rsidTr="009A2D7D">
        <w:trPr>
          <w:trHeight w:hRule="exact" w:val="397"/>
        </w:trPr>
        <w:tc>
          <w:tcPr>
            <w:tcW w:w="947" w:type="dxa"/>
            <w:vMerge w:val="restart"/>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b/>
                <w:bCs/>
                <w:i/>
                <w:iCs/>
                <w:color w:val="000000"/>
                <w:sz w:val="18"/>
                <w:szCs w:val="18"/>
              </w:rPr>
              <w:t>GAPDH</w:t>
            </w:r>
          </w:p>
        </w:tc>
        <w:tc>
          <w:tcPr>
            <w:tcW w:w="1933"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HybFrigga</w:t>
            </w:r>
          </w:p>
        </w:tc>
        <w:tc>
          <w:tcPr>
            <w:tcW w:w="1187"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w:t>
            </w:r>
          </w:p>
        </w:tc>
        <w:tc>
          <w:tcPr>
            <w:tcW w:w="4725"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taatacgactcactatagggAARGCTGGRGCTGAATATG</w:t>
            </w:r>
          </w:p>
        </w:tc>
        <w:tc>
          <w:tcPr>
            <w:tcW w:w="4800" w:type="dxa"/>
            <w:tcBorders>
              <w:top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http://nymphalidae.utu.fi/Nymphalidae/Molecular.htm</w:t>
            </w:r>
          </w:p>
        </w:tc>
      </w:tr>
      <w:tr w:rsidR="00A04976" w:rsidRPr="00E900D1" w:rsidTr="009A2D7D">
        <w:trPr>
          <w:trHeight w:hRule="exact" w:val="397"/>
        </w:trPr>
        <w:tc>
          <w:tcPr>
            <w:tcW w:w="947" w:type="dxa"/>
            <w:vMerge/>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HybBurre</w:t>
            </w:r>
          </w:p>
        </w:tc>
        <w:tc>
          <w:tcPr>
            <w:tcW w:w="1187"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w:t>
            </w:r>
          </w:p>
        </w:tc>
        <w:tc>
          <w:tcPr>
            <w:tcW w:w="4725"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attaaccctcactaaagGWTTGAATGTACTTGATRAGRTC</w:t>
            </w:r>
          </w:p>
        </w:tc>
        <w:tc>
          <w:tcPr>
            <w:tcW w:w="4800"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http://nymphalidae.utu.fi/Nymphalidae/Molecular.htm</w:t>
            </w:r>
          </w:p>
        </w:tc>
      </w:tr>
      <w:tr w:rsidR="00A04976" w:rsidRPr="00E900D1" w:rsidTr="009A2D7D">
        <w:trPr>
          <w:trHeight w:hRule="exact" w:val="397"/>
        </w:trPr>
        <w:tc>
          <w:tcPr>
            <w:tcW w:w="947" w:type="dxa"/>
            <w:vMerge/>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Sequencing primer F</w:t>
            </w:r>
          </w:p>
        </w:tc>
        <w:tc>
          <w:tcPr>
            <w:tcW w:w="1187"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w:t>
            </w:r>
          </w:p>
        </w:tc>
        <w:tc>
          <w:tcPr>
            <w:tcW w:w="4725"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TAATACGACTCACTATAGGG</w:t>
            </w:r>
          </w:p>
        </w:tc>
        <w:tc>
          <w:tcPr>
            <w:tcW w:w="4800" w:type="dxa"/>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http://nymphalidae.utu.fi/Nymphalidae/Molecular.htm</w:t>
            </w:r>
          </w:p>
        </w:tc>
      </w:tr>
      <w:tr w:rsidR="00A04976" w:rsidRPr="00E900D1" w:rsidTr="009A2D7D">
        <w:trPr>
          <w:trHeight w:hRule="exact" w:val="397"/>
        </w:trPr>
        <w:tc>
          <w:tcPr>
            <w:tcW w:w="947" w:type="dxa"/>
            <w:vMerge/>
            <w:tcBorders>
              <w:top w:val="single" w:sz="4" w:space="0" w:color="auto"/>
              <w:bottom w:val="single" w:sz="4" w:space="0" w:color="auto"/>
            </w:tcBorders>
            <w:tcMar>
              <w:top w:w="0" w:type="dxa"/>
              <w:left w:w="108" w:type="dxa"/>
              <w:bottom w:w="0" w:type="dxa"/>
              <w:right w:w="108" w:type="dxa"/>
            </w:tcMar>
            <w:vAlign w:val="center"/>
          </w:tcPr>
          <w:p w:rsidR="00A04976" w:rsidRPr="00E900D1" w:rsidRDefault="00A04976" w:rsidP="00BD10B8">
            <w:pPr>
              <w:suppressAutoHyphens w:val="0"/>
              <w:rPr>
                <w:rFonts w:ascii="Arial" w:hAnsi="Arial" w:cs="Arial"/>
                <w:sz w:val="18"/>
                <w:szCs w:val="18"/>
              </w:rPr>
            </w:pPr>
          </w:p>
        </w:tc>
        <w:tc>
          <w:tcPr>
            <w:tcW w:w="1933"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Sequencing primer R</w:t>
            </w:r>
          </w:p>
        </w:tc>
        <w:tc>
          <w:tcPr>
            <w:tcW w:w="1187"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w:t>
            </w:r>
          </w:p>
        </w:tc>
        <w:tc>
          <w:tcPr>
            <w:tcW w:w="4725"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ATTAACCCTCACTAAAG</w:t>
            </w:r>
          </w:p>
        </w:tc>
        <w:tc>
          <w:tcPr>
            <w:tcW w:w="4800" w:type="dxa"/>
            <w:tcBorders>
              <w:bottom w:val="single" w:sz="4" w:space="0" w:color="auto"/>
            </w:tcBorders>
            <w:shd w:val="clear" w:color="auto" w:fill="FFFFFF"/>
            <w:tcMar>
              <w:top w:w="0" w:type="dxa"/>
              <w:left w:w="108" w:type="dxa"/>
              <w:bottom w:w="0" w:type="dxa"/>
              <w:right w:w="108" w:type="dxa"/>
            </w:tcMar>
            <w:vAlign w:val="center"/>
          </w:tcPr>
          <w:p w:rsidR="00A04976" w:rsidRPr="00E900D1" w:rsidRDefault="00A04976" w:rsidP="00BD10B8">
            <w:pPr>
              <w:pStyle w:val="Standard1"/>
              <w:rPr>
                <w:rFonts w:ascii="Arial" w:hAnsi="Arial" w:cs="Arial"/>
                <w:sz w:val="18"/>
                <w:szCs w:val="18"/>
              </w:rPr>
            </w:pPr>
            <w:r w:rsidRPr="00E900D1">
              <w:rPr>
                <w:rFonts w:ascii="Arial" w:hAnsi="Arial" w:cs="Arial"/>
                <w:color w:val="000000"/>
                <w:sz w:val="18"/>
                <w:szCs w:val="18"/>
              </w:rPr>
              <w:t>http://nymphalidae.utu.fi/Nymphalidae/Molecular.htm</w:t>
            </w:r>
          </w:p>
        </w:tc>
      </w:tr>
    </w:tbl>
    <w:p w:rsidR="00B5133D" w:rsidRDefault="00B5133D"/>
    <w:sectPr w:rsidR="00B5133D" w:rsidSect="00A049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6"/>
    <w:rsid w:val="00035EDA"/>
    <w:rsid w:val="00096DBD"/>
    <w:rsid w:val="000A5923"/>
    <w:rsid w:val="000E0C0F"/>
    <w:rsid w:val="00116309"/>
    <w:rsid w:val="001179A9"/>
    <w:rsid w:val="00124223"/>
    <w:rsid w:val="00154455"/>
    <w:rsid w:val="0018174A"/>
    <w:rsid w:val="001B73C9"/>
    <w:rsid w:val="001C71DD"/>
    <w:rsid w:val="001E6BE4"/>
    <w:rsid w:val="00210F1C"/>
    <w:rsid w:val="00221747"/>
    <w:rsid w:val="00265F8A"/>
    <w:rsid w:val="002C1884"/>
    <w:rsid w:val="002C4C86"/>
    <w:rsid w:val="0030401B"/>
    <w:rsid w:val="00325647"/>
    <w:rsid w:val="00380248"/>
    <w:rsid w:val="003A22C6"/>
    <w:rsid w:val="003C1AF1"/>
    <w:rsid w:val="003D7B46"/>
    <w:rsid w:val="004050B6"/>
    <w:rsid w:val="004924DA"/>
    <w:rsid w:val="004C4035"/>
    <w:rsid w:val="004C684F"/>
    <w:rsid w:val="00535866"/>
    <w:rsid w:val="005464DD"/>
    <w:rsid w:val="005C11A3"/>
    <w:rsid w:val="005D0C7C"/>
    <w:rsid w:val="005F094D"/>
    <w:rsid w:val="005F72F1"/>
    <w:rsid w:val="00612BE6"/>
    <w:rsid w:val="00615FC3"/>
    <w:rsid w:val="00665789"/>
    <w:rsid w:val="00677BB0"/>
    <w:rsid w:val="00687873"/>
    <w:rsid w:val="006E5587"/>
    <w:rsid w:val="00721883"/>
    <w:rsid w:val="007613B7"/>
    <w:rsid w:val="007626EC"/>
    <w:rsid w:val="007709C4"/>
    <w:rsid w:val="00786AA9"/>
    <w:rsid w:val="007940BD"/>
    <w:rsid w:val="007C051D"/>
    <w:rsid w:val="007C3C2E"/>
    <w:rsid w:val="007E5688"/>
    <w:rsid w:val="007F77AA"/>
    <w:rsid w:val="0081602D"/>
    <w:rsid w:val="00826CCD"/>
    <w:rsid w:val="00847B54"/>
    <w:rsid w:val="008979FE"/>
    <w:rsid w:val="008C3502"/>
    <w:rsid w:val="008D2C6B"/>
    <w:rsid w:val="008E14E4"/>
    <w:rsid w:val="008F4096"/>
    <w:rsid w:val="008F64CA"/>
    <w:rsid w:val="0092659E"/>
    <w:rsid w:val="009643CC"/>
    <w:rsid w:val="009A2D7D"/>
    <w:rsid w:val="009F518E"/>
    <w:rsid w:val="00A04976"/>
    <w:rsid w:val="00A25B05"/>
    <w:rsid w:val="00A4718E"/>
    <w:rsid w:val="00A619F1"/>
    <w:rsid w:val="00A7431A"/>
    <w:rsid w:val="00AB3D07"/>
    <w:rsid w:val="00AD2C02"/>
    <w:rsid w:val="00B0016D"/>
    <w:rsid w:val="00B02287"/>
    <w:rsid w:val="00B31370"/>
    <w:rsid w:val="00B36C0F"/>
    <w:rsid w:val="00B5133D"/>
    <w:rsid w:val="00B76D4E"/>
    <w:rsid w:val="00B93983"/>
    <w:rsid w:val="00BA25A1"/>
    <w:rsid w:val="00BE79D1"/>
    <w:rsid w:val="00BF32D9"/>
    <w:rsid w:val="00BF3839"/>
    <w:rsid w:val="00BF6E1F"/>
    <w:rsid w:val="00C32295"/>
    <w:rsid w:val="00C33BE0"/>
    <w:rsid w:val="00C40E1B"/>
    <w:rsid w:val="00C43A81"/>
    <w:rsid w:val="00C75444"/>
    <w:rsid w:val="00CD551B"/>
    <w:rsid w:val="00D21F46"/>
    <w:rsid w:val="00D82ED0"/>
    <w:rsid w:val="00DB7CEE"/>
    <w:rsid w:val="00DD344D"/>
    <w:rsid w:val="00E40611"/>
    <w:rsid w:val="00E55555"/>
    <w:rsid w:val="00E7702E"/>
    <w:rsid w:val="00EA257C"/>
    <w:rsid w:val="00EA766C"/>
    <w:rsid w:val="00EE6FD3"/>
    <w:rsid w:val="00F10ED2"/>
    <w:rsid w:val="00F303CE"/>
    <w:rsid w:val="00F3242A"/>
    <w:rsid w:val="00F90FB0"/>
    <w:rsid w:val="00FB0CE2"/>
    <w:rsid w:val="00FB677A"/>
    <w:rsid w:val="00FF6A18"/>
    <w:rsid w:val="00FF77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976"/>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uiPriority w:val="99"/>
    <w:rsid w:val="00A04976"/>
    <w:pPr>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976"/>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uiPriority w:val="99"/>
    <w:rsid w:val="00A04976"/>
    <w:pPr>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MZUJ</dc:creator>
  <cp:keywords/>
  <dc:description/>
  <cp:lastModifiedBy>kklass</cp:lastModifiedBy>
  <cp:revision>3</cp:revision>
  <dcterms:created xsi:type="dcterms:W3CDTF">2017-04-05T08:28:00Z</dcterms:created>
  <dcterms:modified xsi:type="dcterms:W3CDTF">2017-04-06T10:42:00Z</dcterms:modified>
</cp:coreProperties>
</file>